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AE464" w14:textId="6FE8A2A5" w:rsidR="00C846D0" w:rsidRPr="006A71D0" w:rsidRDefault="00C846D0" w:rsidP="00C846D0">
      <w:pPr>
        <w:rPr>
          <w:rFonts w:ascii="Arial" w:hAnsi="Arial" w:cs="Arial"/>
          <w:b/>
          <w:bCs/>
          <w:sz w:val="20"/>
          <w:szCs w:val="20"/>
        </w:rPr>
      </w:pPr>
      <w:r w:rsidRPr="006A71D0">
        <w:rPr>
          <w:rFonts w:ascii="Arial" w:hAnsi="Arial" w:cs="Arial"/>
          <w:b/>
          <w:bCs/>
          <w:sz w:val="20"/>
          <w:szCs w:val="20"/>
          <w:u w:val="single"/>
        </w:rPr>
        <w:t>E-mail Subject Heading</w:t>
      </w:r>
      <w:r>
        <w:rPr>
          <w:rFonts w:ascii="Arial" w:hAnsi="Arial" w:cs="Arial"/>
          <w:sz w:val="20"/>
          <w:szCs w:val="20"/>
        </w:rPr>
        <w:t>: DEA Proposes Rules to Extend Telehealth Flexibilities Beyond Covid-19 PHE</w:t>
      </w:r>
    </w:p>
    <w:p w14:paraId="3948C5BE" w14:textId="77777777" w:rsidR="00C846D0" w:rsidRDefault="00C846D0" w:rsidP="00C846D0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5F3A17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</w:p>
    <w:p w14:paraId="5871FBA2" w14:textId="005172C1" w:rsidR="00C846D0" w:rsidRDefault="00C846D0" w:rsidP="00C846D0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C846D0">
        <w:rPr>
          <w:rFonts w:ascii="Arial" w:hAnsi="Arial" w:cs="Arial"/>
          <w:b/>
          <w:bCs/>
          <w:i/>
          <w:iCs/>
          <w:sz w:val="20"/>
          <w:szCs w:val="20"/>
        </w:rPr>
        <w:t xml:space="preserve">DEA Proposes Rules to Extend Telehealth Flexibilities Beyond </w:t>
      </w:r>
      <w:r w:rsidR="0054420E">
        <w:rPr>
          <w:rFonts w:ascii="Arial" w:hAnsi="Arial" w:cs="Arial"/>
          <w:b/>
          <w:bCs/>
          <w:i/>
          <w:iCs/>
          <w:sz w:val="20"/>
          <w:szCs w:val="20"/>
        </w:rPr>
        <w:t>COVID-19</w:t>
      </w:r>
      <w:r w:rsidRPr="00C846D0">
        <w:rPr>
          <w:rFonts w:ascii="Arial" w:hAnsi="Arial" w:cs="Arial"/>
          <w:b/>
          <w:bCs/>
          <w:i/>
          <w:iCs/>
          <w:sz w:val="20"/>
          <w:szCs w:val="20"/>
        </w:rPr>
        <w:t xml:space="preserve"> PHE</w:t>
      </w:r>
    </w:p>
    <w:p w14:paraId="792489B8" w14:textId="2E1CB8FD" w:rsidR="00C846D0" w:rsidRDefault="00C846D0" w:rsidP="00C846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Drug Enforcement Administration (DEA) has proposed </w:t>
      </w:r>
      <w:hyperlink r:id="rId5" w:history="1">
        <w:r w:rsidRPr="00206930">
          <w:rPr>
            <w:rStyle w:val="Hyperlink"/>
            <w:rFonts w:ascii="Arial" w:hAnsi="Arial" w:cs="Arial"/>
            <w:sz w:val="20"/>
            <w:szCs w:val="20"/>
          </w:rPr>
          <w:t>rules</w:t>
        </w:r>
      </w:hyperlink>
      <w:r>
        <w:rPr>
          <w:rFonts w:ascii="Arial" w:hAnsi="Arial" w:cs="Arial"/>
          <w:sz w:val="20"/>
          <w:szCs w:val="20"/>
        </w:rPr>
        <w:t xml:space="preserve"> to extend telehealth flexibilities beyond the COVID-19 public health emergency (PHE) that would provide safeguards for a certain subset of telemedicine consultations.</w:t>
      </w:r>
    </w:p>
    <w:p w14:paraId="792908F8" w14:textId="0F65E29C" w:rsidR="00C846D0" w:rsidRDefault="0054420E" w:rsidP="00C846D0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</w:t>
      </w:r>
      <w:r w:rsidR="00C846D0" w:rsidRPr="00C846D0">
        <w:rPr>
          <w:rFonts w:ascii="Arial" w:hAnsi="Arial" w:cs="Arial"/>
          <w:sz w:val="20"/>
          <w:szCs w:val="20"/>
        </w:rPr>
        <w:t xml:space="preserve"> rules—which DEA developed</w:t>
      </w:r>
      <w:r w:rsidR="00CB49E8">
        <w:rPr>
          <w:rFonts w:ascii="Arial" w:hAnsi="Arial" w:cs="Arial"/>
          <w:sz w:val="20"/>
          <w:szCs w:val="20"/>
        </w:rPr>
        <w:t xml:space="preserve"> with</w:t>
      </w:r>
      <w:r w:rsidR="00C846D0" w:rsidRPr="00C846D0">
        <w:rPr>
          <w:rFonts w:ascii="Arial" w:hAnsi="Arial" w:cs="Arial"/>
          <w:sz w:val="20"/>
          <w:szCs w:val="20"/>
        </w:rPr>
        <w:t xml:space="preserve"> </w:t>
      </w:r>
      <w:r w:rsidR="00507394">
        <w:rPr>
          <w:rFonts w:ascii="Arial" w:hAnsi="Arial" w:cs="Arial"/>
          <w:sz w:val="20"/>
          <w:szCs w:val="20"/>
        </w:rPr>
        <w:t>the U.S. Health and Human Services Department (</w:t>
      </w:r>
      <w:r w:rsidR="00C846D0" w:rsidRPr="00C846D0">
        <w:rPr>
          <w:rFonts w:ascii="Arial" w:hAnsi="Arial" w:cs="Arial"/>
          <w:sz w:val="20"/>
          <w:szCs w:val="20"/>
        </w:rPr>
        <w:t>HHS</w:t>
      </w:r>
      <w:r w:rsidR="00507394">
        <w:rPr>
          <w:rFonts w:ascii="Arial" w:hAnsi="Arial" w:cs="Arial"/>
          <w:sz w:val="20"/>
          <w:szCs w:val="20"/>
        </w:rPr>
        <w:t>)</w:t>
      </w:r>
      <w:r w:rsidR="00C846D0" w:rsidRPr="00C846D0">
        <w:rPr>
          <w:rFonts w:ascii="Arial" w:hAnsi="Arial" w:cs="Arial"/>
          <w:sz w:val="20"/>
          <w:szCs w:val="20"/>
        </w:rPr>
        <w:t xml:space="preserve"> and in close coordination with the U.S. Veterans Department—apply to telemedicine consultations by a medical practitioner who has never </w:t>
      </w:r>
      <w:r w:rsidR="00C846D0" w:rsidRPr="00C846D0">
        <w:rPr>
          <w:rFonts w:ascii="Arial" w:hAnsi="Arial" w:cs="Arial"/>
          <w:color w:val="000000"/>
          <w:sz w:val="20"/>
          <w:szCs w:val="20"/>
        </w:rPr>
        <w:t xml:space="preserve">conducted an in-person evaluation of a patient and that result in prescribing a controlled medication. </w:t>
      </w:r>
    </w:p>
    <w:p w14:paraId="792B07FF" w14:textId="035A7BCD" w:rsidR="00C846D0" w:rsidRDefault="00C846D0" w:rsidP="00C846D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846D0">
        <w:rPr>
          <w:rFonts w:ascii="Arial" w:hAnsi="Arial" w:cs="Arial"/>
          <w:color w:val="000000"/>
          <w:sz w:val="20"/>
          <w:szCs w:val="20"/>
        </w:rPr>
        <w:t xml:space="preserve">For these types of consultations, </w:t>
      </w:r>
      <w:r>
        <w:rPr>
          <w:rFonts w:ascii="Arial" w:hAnsi="Arial" w:cs="Arial"/>
          <w:color w:val="000000"/>
          <w:sz w:val="20"/>
          <w:szCs w:val="20"/>
        </w:rPr>
        <w:t>DEA’s</w:t>
      </w:r>
      <w:r w:rsidRPr="00C846D0">
        <w:rPr>
          <w:rFonts w:ascii="Arial" w:hAnsi="Arial" w:cs="Arial"/>
          <w:color w:val="000000"/>
          <w:sz w:val="20"/>
          <w:szCs w:val="20"/>
        </w:rPr>
        <w:t xml:space="preserve"> proposed rules would allow medical practitioners to prescribe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846D0">
        <w:rPr>
          <w:rFonts w:ascii="Arial" w:hAnsi="Arial" w:cs="Arial"/>
          <w:color w:val="000000"/>
          <w:sz w:val="20"/>
          <w:szCs w:val="20"/>
        </w:rPr>
        <w:t>a 30-day supply of Schedule III-V non-narcotic controlled medications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C846D0">
        <w:rPr>
          <w:rFonts w:ascii="Arial" w:hAnsi="Arial" w:cs="Arial"/>
          <w:color w:val="000000"/>
          <w:sz w:val="20"/>
          <w:szCs w:val="20"/>
        </w:rPr>
        <w:t xml:space="preserve"> as well as a 30-day supply of buprenorphine </w:t>
      </w:r>
      <w:r w:rsidR="0054420E">
        <w:rPr>
          <w:rFonts w:ascii="Arial" w:hAnsi="Arial" w:cs="Arial"/>
          <w:color w:val="000000"/>
          <w:sz w:val="20"/>
          <w:szCs w:val="20"/>
        </w:rPr>
        <w:t>to treat</w:t>
      </w:r>
      <w:r w:rsidRPr="00C846D0">
        <w:rPr>
          <w:rFonts w:ascii="Arial" w:hAnsi="Arial" w:cs="Arial"/>
          <w:color w:val="000000"/>
          <w:sz w:val="20"/>
          <w:szCs w:val="20"/>
        </w:rPr>
        <w:t xml:space="preserve"> opioid use disorder </w:t>
      </w:r>
      <w:r w:rsidRPr="00C846D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without an in-person evaluation or referral from a medical practitioner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who</w:t>
      </w:r>
      <w:r w:rsidRPr="00C846D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has conducted an in-person evaluation, as long as the prescription is otherwise consistent with any applicable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federal and state</w:t>
      </w:r>
      <w:r w:rsidRPr="00C846D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laws.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14:paraId="13B93677" w14:textId="23CE1509" w:rsidR="00C846D0" w:rsidRDefault="00C846D0" w:rsidP="00C846D0">
      <w:pPr>
        <w:rPr>
          <w:rFonts w:ascii="Arial" w:hAnsi="Arial" w:cs="Arial"/>
          <w:color w:val="000000"/>
          <w:sz w:val="20"/>
          <w:szCs w:val="20"/>
        </w:rPr>
      </w:pPr>
      <w:r w:rsidRPr="00C846D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According to the DEA, the proposed regulations would not affect </w:t>
      </w:r>
      <w:r w:rsidRPr="00C846D0">
        <w:rPr>
          <w:rFonts w:ascii="Arial" w:hAnsi="Arial" w:cs="Arial"/>
          <w:color w:val="000000"/>
          <w:sz w:val="20"/>
          <w:szCs w:val="20"/>
        </w:rPr>
        <w:t>telemedicine consultations that do not involve prescribing controlled medications; telemedicine consultations by a medical practitioner who has previously conducted an in-person medical examination of a patient; and telemedicine consultations and prescriptions by a medical practitioner to whom a patient has been referred, as long as the referring medical practitioner has previously conducted an in-person medical examination of the patient.</w:t>
      </w:r>
    </w:p>
    <w:p w14:paraId="17D350BA" w14:textId="5271E346" w:rsidR="00C846D0" w:rsidRPr="00507394" w:rsidRDefault="00507394" w:rsidP="00C846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“</w:t>
      </w:r>
      <w:r w:rsidRPr="00507394">
        <w:rPr>
          <w:rFonts w:ascii="Arial" w:hAnsi="Arial" w:cs="Arial"/>
          <w:color w:val="000000"/>
          <w:sz w:val="20"/>
          <w:szCs w:val="20"/>
          <w:shd w:val="clear" w:color="auto" w:fill="FFFFFF"/>
        </w:rPr>
        <w:t>Improved access to mental health and substance use disorder services through expanded telemedicine flexibilities will save lives,” HHS Secretary Xavier Becerra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said in DEA’s </w:t>
      </w:r>
      <w:hyperlink r:id="rId6" w:history="1">
        <w:r w:rsidRPr="00206930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announcement</w:t>
        </w:r>
      </w:hyperlink>
      <w:r w:rsidRPr="00507394">
        <w:rPr>
          <w:rFonts w:ascii="Arial" w:hAnsi="Arial" w:cs="Arial"/>
          <w:color w:val="000000"/>
          <w:sz w:val="20"/>
          <w:szCs w:val="20"/>
          <w:shd w:val="clear" w:color="auto" w:fill="FFFFFF"/>
        </w:rPr>
        <w:t>. “We still have millions of Americans, particularly those living in rural communities, who face difficulties accessing a doctor or healthcare provider in</w:t>
      </w:r>
      <w:r w:rsidR="00B7524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507394">
        <w:rPr>
          <w:rFonts w:ascii="Arial" w:hAnsi="Arial" w:cs="Arial"/>
          <w:color w:val="000000"/>
          <w:sz w:val="20"/>
          <w:szCs w:val="20"/>
          <w:shd w:val="clear" w:color="auto" w:fill="FFFFFF"/>
        </w:rPr>
        <w:t>person</w:t>
      </w:r>
      <w:r w:rsidR="00B75240">
        <w:rPr>
          <w:rFonts w:ascii="Arial" w:hAnsi="Arial" w:cs="Arial"/>
          <w:color w:val="000000"/>
          <w:sz w:val="20"/>
          <w:szCs w:val="20"/>
          <w:shd w:val="clear" w:color="auto" w:fill="FFFFFF"/>
        </w:rPr>
        <w:t>,” he continued. “</w:t>
      </w:r>
      <w:r w:rsidRPr="00507394">
        <w:rPr>
          <w:rFonts w:ascii="Arial" w:hAnsi="Arial" w:cs="Arial"/>
          <w:color w:val="000000"/>
          <w:sz w:val="20"/>
          <w:szCs w:val="20"/>
          <w:shd w:val="clear" w:color="auto" w:fill="FFFFFF"/>
        </w:rPr>
        <w:t>At HHS, we are committed to working with our federal partners and stakeholders to advance proven technologies and lifesaving care for the benefit of all Americans.”</w:t>
      </w:r>
    </w:p>
    <w:p w14:paraId="3C884C09" w14:textId="77777777" w:rsidR="00B02FB9" w:rsidRDefault="00B02FB9"/>
    <w:sectPr w:rsidR="00B02F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5B3A88"/>
    <w:multiLevelType w:val="multilevel"/>
    <w:tmpl w:val="48788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36848FF"/>
    <w:multiLevelType w:val="multilevel"/>
    <w:tmpl w:val="32AC4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BC235AA"/>
    <w:multiLevelType w:val="multilevel"/>
    <w:tmpl w:val="E3721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8117366">
    <w:abstractNumId w:val="1"/>
  </w:num>
  <w:num w:numId="2" w16cid:durableId="409621391">
    <w:abstractNumId w:val="0"/>
  </w:num>
  <w:num w:numId="3" w16cid:durableId="17109576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6D0"/>
    <w:rsid w:val="00206930"/>
    <w:rsid w:val="00507394"/>
    <w:rsid w:val="0054420E"/>
    <w:rsid w:val="00B02FB9"/>
    <w:rsid w:val="00B75240"/>
    <w:rsid w:val="00C27D41"/>
    <w:rsid w:val="00C846D0"/>
    <w:rsid w:val="00CB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7FBB3"/>
  <w15:chartTrackingRefBased/>
  <w15:docId w15:val="{B63272D2-F25A-4E22-A016-BD5D5B22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6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46D0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C84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846D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069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8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ea.gov/press-releases/2023/02/24/dea-announces-proposed-rules-permanent-telemedicine-flexibilities" TargetMode="External"/><Relationship Id="rId5" Type="http://schemas.openxmlformats.org/officeDocument/2006/relationships/hyperlink" Target="https://www.dea.gov/sites/default/files/2023-02/Telemedicine%20%28DEA407%2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Zigmond</dc:creator>
  <cp:keywords/>
  <dc:description/>
  <cp:lastModifiedBy>Jessica Zigmond</cp:lastModifiedBy>
  <cp:revision>6</cp:revision>
  <dcterms:created xsi:type="dcterms:W3CDTF">2023-02-27T15:08:00Z</dcterms:created>
  <dcterms:modified xsi:type="dcterms:W3CDTF">2023-02-27T15:31:00Z</dcterms:modified>
</cp:coreProperties>
</file>